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博罗县石湾镇人民政府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sz w:val="32"/>
          <w:szCs w:val="32"/>
          <w:lang w:val="en-US" w:eastAsia="zh-CN"/>
        </w:rPr>
        <w:t>曾健锋</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 w:hAnsi="仿宋" w:eastAsia="仿宋" w:cs="Arial"/>
          <w:sz w:val="32"/>
          <w:szCs w:val="32"/>
          <w:lang w:val="en-US" w:eastAsia="zh-CN"/>
        </w:rPr>
        <w:t>博罗县石湾镇人民路6号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联系电话：0752--6620016</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博罗县石湾镇经二路北侧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rPr>
        <w:t>14425</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54号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 xml:space="preserve">，土地使用权出让年限 </w:t>
      </w:r>
      <w:r>
        <w:rPr>
          <w:rFonts w:hint="eastAsia" w:ascii="仿宋" w:hAnsi="仿宋" w:eastAsia="仿宋" w:cs="Arial"/>
          <w:color w:val="auto"/>
          <w:sz w:val="32"/>
          <w:szCs w:val="32"/>
          <w:u w:val="single"/>
          <w:lang w:val="en-US" w:eastAsia="zh-CN"/>
        </w:rPr>
        <w:t xml:space="preserve">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机械零部件加工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从事：</w:t>
      </w:r>
      <w:r>
        <w:rPr>
          <w:rFonts w:hint="eastAsia" w:ascii="仿宋" w:hAnsi="仿宋" w:eastAsia="仿宋" w:cs="Arial"/>
          <w:color w:val="auto"/>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工业互联网网络、平台、安全硬件设备及周边零部件的研发</w:t>
      </w:r>
      <w:r>
        <w:rPr>
          <w:rFonts w:hint="eastAsia" w:ascii="仿宋_GB2312" w:hAnsi="仿宋_GB2312" w:eastAsia="仿宋_GB2312" w:cs="仿宋_GB2312"/>
          <w:sz w:val="32"/>
          <w:szCs w:val="32"/>
          <w:u w:val="single"/>
          <w:lang w:val="en-US" w:eastAsia="zh-CN"/>
        </w:rPr>
        <w:t>、</w:t>
      </w:r>
      <w:r>
        <w:rPr>
          <w:rFonts w:hint="default" w:ascii="仿宋_GB2312" w:hAnsi="仿宋_GB2312" w:eastAsia="仿宋_GB2312" w:cs="仿宋_GB2312"/>
          <w:sz w:val="32"/>
          <w:szCs w:val="32"/>
          <w:u w:val="single"/>
          <w:lang w:val="en-US" w:eastAsia="zh-CN"/>
        </w:rPr>
        <w:t>生产和销售，开发并制造出应用于医疗、轨道交通、工业互联网、军工/航天、通讯网络、电力/能源、AV音视频等领域的高端结构件及配套零部件</w:t>
      </w:r>
      <w:r>
        <w:rPr>
          <w:rFonts w:hint="eastAsia" w:ascii="仿宋" w:hAnsi="仿宋" w:eastAsia="仿宋" w:cs="Arial"/>
          <w:color w:val="auto"/>
          <w:sz w:val="32"/>
          <w:szCs w:val="32"/>
          <w:u w:val="single"/>
          <w:lang w:val="en-US" w:eastAsia="zh-CN"/>
        </w:rPr>
        <w:t xml:space="preserve"> 。           </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w:t>
      </w:r>
      <w:bookmarkStart w:id="0" w:name="_GoBack"/>
      <w:bookmarkEnd w:id="0"/>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7F4679"/>
    <w:rsid w:val="039074DB"/>
    <w:rsid w:val="04214189"/>
    <w:rsid w:val="04913698"/>
    <w:rsid w:val="05422B67"/>
    <w:rsid w:val="05D23250"/>
    <w:rsid w:val="082552A6"/>
    <w:rsid w:val="08316DF2"/>
    <w:rsid w:val="08464B3C"/>
    <w:rsid w:val="08D575B3"/>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4979CC"/>
    <w:rsid w:val="12D83B09"/>
    <w:rsid w:val="133C390A"/>
    <w:rsid w:val="13611602"/>
    <w:rsid w:val="13C04D72"/>
    <w:rsid w:val="144D12B4"/>
    <w:rsid w:val="157F42CF"/>
    <w:rsid w:val="16010852"/>
    <w:rsid w:val="1639444E"/>
    <w:rsid w:val="16FB3447"/>
    <w:rsid w:val="17E917A5"/>
    <w:rsid w:val="17F9335A"/>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2BD73D2"/>
    <w:rsid w:val="23134730"/>
    <w:rsid w:val="2337347F"/>
    <w:rsid w:val="234C7C72"/>
    <w:rsid w:val="2381590A"/>
    <w:rsid w:val="243168D6"/>
    <w:rsid w:val="244C1EB8"/>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703981"/>
    <w:rsid w:val="358906E1"/>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246A2"/>
    <w:rsid w:val="3DE40616"/>
    <w:rsid w:val="3DF43FFE"/>
    <w:rsid w:val="3E403F76"/>
    <w:rsid w:val="3E605A92"/>
    <w:rsid w:val="3EBC1EBD"/>
    <w:rsid w:val="3EEA0849"/>
    <w:rsid w:val="3EF603C8"/>
    <w:rsid w:val="3FA374B5"/>
    <w:rsid w:val="40041E22"/>
    <w:rsid w:val="40415151"/>
    <w:rsid w:val="40B07FB0"/>
    <w:rsid w:val="413072B2"/>
    <w:rsid w:val="42557AD9"/>
    <w:rsid w:val="433B0C0C"/>
    <w:rsid w:val="436D751F"/>
    <w:rsid w:val="43990316"/>
    <w:rsid w:val="43BD0295"/>
    <w:rsid w:val="446A3BD2"/>
    <w:rsid w:val="44B25DF8"/>
    <w:rsid w:val="451B4C25"/>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791348"/>
    <w:rsid w:val="4DE1110B"/>
    <w:rsid w:val="4E254107"/>
    <w:rsid w:val="4E7F44A5"/>
    <w:rsid w:val="4EEB715F"/>
    <w:rsid w:val="4EF81A68"/>
    <w:rsid w:val="4F126CBC"/>
    <w:rsid w:val="4FB366DA"/>
    <w:rsid w:val="4FBD2F57"/>
    <w:rsid w:val="50045E86"/>
    <w:rsid w:val="50DB0FB3"/>
    <w:rsid w:val="51211229"/>
    <w:rsid w:val="51256551"/>
    <w:rsid w:val="51753D03"/>
    <w:rsid w:val="51A61FA1"/>
    <w:rsid w:val="51CB043B"/>
    <w:rsid w:val="52882588"/>
    <w:rsid w:val="531F0A70"/>
    <w:rsid w:val="536642E0"/>
    <w:rsid w:val="558537AB"/>
    <w:rsid w:val="55C27E6C"/>
    <w:rsid w:val="55E02674"/>
    <w:rsid w:val="56F1172B"/>
    <w:rsid w:val="573B317C"/>
    <w:rsid w:val="5765718D"/>
    <w:rsid w:val="57C82E5E"/>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F47641"/>
    <w:rsid w:val="5D382F58"/>
    <w:rsid w:val="5E4E216F"/>
    <w:rsid w:val="5F520E4D"/>
    <w:rsid w:val="5FB06EAB"/>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E15428C"/>
    <w:rsid w:val="6F434CB2"/>
    <w:rsid w:val="6FEF56F2"/>
    <w:rsid w:val="6FF620E0"/>
    <w:rsid w:val="701227A4"/>
    <w:rsid w:val="70F16817"/>
    <w:rsid w:val="715249E1"/>
    <w:rsid w:val="71BC5CAF"/>
    <w:rsid w:val="73740A10"/>
    <w:rsid w:val="737D4FE1"/>
    <w:rsid w:val="73C65EE3"/>
    <w:rsid w:val="741C7FC3"/>
    <w:rsid w:val="745513BA"/>
    <w:rsid w:val="74E70588"/>
    <w:rsid w:val="74ED0240"/>
    <w:rsid w:val="75D2086C"/>
    <w:rsid w:val="75E7244C"/>
    <w:rsid w:val="7651314C"/>
    <w:rsid w:val="76C8568D"/>
    <w:rsid w:val="77954015"/>
    <w:rsid w:val="782810F4"/>
    <w:rsid w:val="78482227"/>
    <w:rsid w:val="791B278D"/>
    <w:rsid w:val="796F67B7"/>
    <w:rsid w:val="798E0446"/>
    <w:rsid w:val="79913E8C"/>
    <w:rsid w:val="7A91186A"/>
    <w:rsid w:val="7BA31AFD"/>
    <w:rsid w:val="7BF93CF4"/>
    <w:rsid w:val="7C084F4E"/>
    <w:rsid w:val="7C604AA5"/>
    <w:rsid w:val="7D4A221E"/>
    <w:rsid w:val="7E2F4DF8"/>
    <w:rsid w:val="7EFA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6</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2022-10-14T02:23:49Z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